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000000"/>
          <w:sz w:val="30"/>
          <w:szCs w:val="30"/>
        </w:rPr>
        <w:t xml:space="preserve">Safeguarding Policy Checklist — Children and Adults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Example checklist only — adapt to your practice. Work through each item against your own policy and arrangements; where the answer is no, that is the gap to close.</w:t>
      </w:r>
    </w:p>
    <w:p>
      <w:pPr>
        <w:spacing w:after="10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CQC inspectors will review your safeguarding policies, usually in advance of a visit, and expect them to reflect your practice's actual arrangements — not a generic template. This checklist covers the content inspectors look for, and the evidence beyond the policy that they test on the day.</w:t>
      </w:r>
    </w:p>
    <w:p>
      <w:pPr>
        <w:spacing w:after="100"/>
      </w:pP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The checklist is in two tiers. Dark-headed tables are the core — content inspectors routinely look for. Grey-headed 'going further' tables are best practice drawn from well-developed practice policies: not every inspector will ask, but each item strengthens the policy and several are known inspector questions. Start with the core; treat going further as the improvement plan.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A. Core policy content — applies to both children's and adults' policies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Named safeguarding lead, with named deputy / sufficient cover arrangements for the role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Local reporting mechanisms, referral routes, contact numbers and locality safeguarding leads included — and current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Policy reflects current national guidance (children: Working Together to Safeguard Children, intercollegiate training guidance; adults: Care Act 2014)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Details of signs and indicators that may suggest a safeguarding concern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Process for coding and placing alerts on patients with safeguarding concerns — and on household members and other related patients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Process for multidisciplinary working (health visitors, school nursing, district nurses, palliative care teams, social services) — and the alternative information-sharing mechanisms used where structured meetings are not happening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Process for reviewing the safeguarding registers, with the frequency stated (quarterly as a minimum)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Training requirements by staff group (levels 1–3) and refresh frequency (see section D)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Specific process for FGM, including the mandatory reporting duty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Specific process for Prevent referrals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Escalation route and process for professional disagreement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Consent, confidentiality and information sharing — lawful bases for sharing with and without consent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Safeguarding supervision arrangements for clinical staff and the safeguarding lead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Version control, named approver and a review date that has not lapsed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i/>
          <w:iCs/>
          <w:color w:val="595959"/>
          <w:sz w:val="20"/>
          <w:szCs w:val="20"/>
        </w:rPr>
        <w:t xml:space="preserve">Going further — best practice beyond the core: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Process for managing allegations against staff — LADO referral route (children) and person-in-a-position-of-trust process (adults)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Record-keeping specifics: how third-party information is recorded, and how safeguarding entries are handled for patients' online records access (redaction / visibility review before access is granted)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Whistleblowing / Freedom to Speak Up route referenced, so staff know how to raise concerns about colleagues or the practice itself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Support for staff after involvement in distressing safeguarding cases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Accountability chain and governance reporting — who reports what to partners / board, and assurance returns to the ICB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Appendix of named contacts and numbers checked as current at every policy review — not merely present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B. Children's policy — specific content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The four categories of abuse defined: physical, emotional, sexual, neglect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Wider safeguarding risks covered: child sexual exploitation (CSE), child criminal exploitation (CCE), fabricated or induced illness (FII), online and digital risk, radicalisation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'Was not brought' / DNA process for children — internal and secondary care appointments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Registers the practice maintains named: Child Protection, Child in Need, Looked After Children, FGM, antenatal safeguarding (unborn babies)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Children missing education and children taken abroad for treatment addressed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Consent and competence in under-18s (Gillick competence / Fraser guidelines)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Transition to adulthood — process for young people requiring ongoing safeguarding support past 18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i/>
          <w:iCs/>
          <w:color w:val="595959"/>
          <w:sz w:val="20"/>
          <w:szCs w:val="20"/>
        </w:rPr>
        <w:t xml:space="preserve">Going further — best practice beyond the core: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Bruising or injury in a non-mobile baby — immediate, same-day referral protocol (a known inspector question)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Private fostering — recognition and the duty to notify the local authority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Young carers — identification, coding and support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'Think Family' — parental mental health, parental substance misuse and domestic abuse recognised as risks to the child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Learning from child safeguarding practice reviews (CSPRs) and rapid reviews fed back into practice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C. Adults' policy — specific content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Care Act 2014 definitions and the categories of abuse and neglect, including self-neglect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Mental Capacity Act 2005: capacity assessment, best-interest decisions, Deprivation of Liberty Safeguards (DoLS) / Liberty Protection Safeguards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Domestic abuse: recognition, support routes and the MARAC process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Adult safeguarding register and any linked vulnerability registers (learning disability, severe mental illness, frailty, substance misuse, carers, homelessness) identified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i/>
          <w:iCs/>
          <w:color w:val="595959"/>
          <w:sz w:val="20"/>
          <w:szCs w:val="20"/>
        </w:rPr>
        <w:t xml:space="preserve">Going further — best practice beyond the core: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Modern slavery and exploitation named explicitly — including cuckooing and county lines exploitation of vulnerable adults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Learning from safeguarding adult reviews (SARs) and domestic homicide reviews fed back into practice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Carers recognised both as people needing support and as a potential source of risk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D. Training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Level 1: staff with no patient contact only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Level 2: all reception and administrative staff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Level 3: all staff assessing, planning, delivering or evaluating the care of adults and children (clinical staff, safeguarding administrators)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Training matrix in place showing current compliance for every member of staff, children and adults separately where applicable, plus Prevent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E. Evidence beyond the policy — what inspectors test on the day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40404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Safeguarding registers accurate and up to date — correct coding, alerts on records, household members and related patients flagged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Register reviews documented at least quarterly, with an outcome recorded per patient — including 'no action required' where that is the outcome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Register review considers: A&amp;E attendances and unplanned admissions, DNAs / was-not-brought (internal and secondary care), actions from external agencies followed up, whether the patient remains a concern, information requests responded to, children transitioning to adulthood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Safeguarding meetings minuted, with decisions, learning and actions clearly recorded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Minutes of multi-agency meetings retained — or, where agencies do not engage, the alternative information-sharing mechanisms documented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Safeguarding a standing agenda item at team meetings, with a brief recap of what may amount to a concern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Staff at all levels can answer: where the policy is, an example of a concern, what they would do if they identified one, and what level of training they have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i/>
          <w:iCs/>
          <w:color w:val="595959"/>
          <w:sz w:val="20"/>
          <w:szCs w:val="20"/>
        </w:rPr>
        <w:t xml:space="preserve">Going further — best practice beyond the core: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0"/>
        <w:gridCol w:w="1100"/>
        <w:gridCol w:w="3100"/>
      </w:tblGrid>
      <w:tr>
        <w:trPr>
          <w:tblHeader/>
        </w:trP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 place? (Y/N)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8A8A8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 evidenced / comments</w:t>
            </w:r>
          </w:p>
        </w:tc>
      </w:tr>
      <w:tr>
        <w:tc>
          <w:tcPr>
            <w:tcW w:type="dxa" w:w="54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 periodic safeguarding audit programme beyond the register review — e.g. frequent A&amp;E / UTC attender audits for children and adults at risk, with findings minuted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sectPr>
      <w:pgSz w:w="11906" w:h="16838" w:orient="portrait"/>
      <w:pgMar w:top="1152" w:right="1008" w:bottom="115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0BDDED680624394F9A9EA94C6770B" ma:contentTypeVersion="21" ma:contentTypeDescription="Create a new document." ma:contentTypeScope="" ma:versionID="ae8c1f2e12bf8c52f19d553bf3e34c84">
  <xsd:schema xmlns:xsd="http://www.w3.org/2001/XMLSchema" xmlns:xs="http://www.w3.org/2001/XMLSchema" xmlns:p="http://schemas.microsoft.com/office/2006/metadata/properties" xmlns:ns2="906f4b50-9439-4385-aa1d-b04a05b74af0" xmlns:ns3="e4f78451-638c-45ee-adad-916a7234816e" xmlns:ns4="250e45f9-ddcb-4a55-a017-0e64c5b64fe9" targetNamespace="http://schemas.microsoft.com/office/2006/metadata/properties" ma:root="true" ma:fieldsID="19987b0a3f2d716816c4a9270a829cef" ns2:_="" ns3:_="" ns4:_="">
    <xsd:import namespace="906f4b50-9439-4385-aa1d-b04a05b74af0"/>
    <xsd:import namespace="e4f78451-638c-45ee-adad-916a7234816e"/>
    <xsd:import namespace="250e45f9-ddcb-4a55-a017-0e64c5b64fe9"/>
    <xsd:element name="properties">
      <xsd:complexType>
        <xsd:sequence>
          <xsd:element name="documentManagement">
            <xsd:complexType>
              <xsd:all>
                <xsd:element ref="ns2:Business_x0020_Document_x0020_Category" minOccurs="0"/>
                <xsd:element ref="ns2:MediaServiceMetadata" minOccurs="0"/>
                <xsd:element ref="ns2:MediaServiceFastMetadata" minOccurs="0"/>
                <xsd:element ref="ns2:Policies_x0020_for_x0020_Acknowledgement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f4b50-9439-4385-aa1d-b04a05b74af0" elementFormDefault="qualified">
    <xsd:import namespace="http://schemas.microsoft.com/office/2006/documentManagement/types"/>
    <xsd:import namespace="http://schemas.microsoft.com/office/infopath/2007/PartnerControls"/>
    <xsd:element name="Business_x0020_Document_x0020_Category" ma:index="8" nillable="true" ma:displayName="Business Document Category" ma:indexed="true" ma:internalName="Business_x0020_Document_x0020_Category">
      <xsd:simpleType>
        <xsd:restriction base="dms:Choice">
          <xsd:enumeration value="Policies and Procedures"/>
          <xsd:enumeration value="Guides"/>
          <xsd:enumeration value="Forms and Templates"/>
          <xsd:enumeration value="CEPN"/>
          <xsd:enumeration value="Admin"/>
          <xsd:enumeration value="Business Structure and Legal"/>
          <xsd:enumeration value="Services/Projects"/>
          <xsd:enumeration value="CCG"/>
          <xsd:enumeration value="Clinical Governance"/>
          <xsd:enumeration value="Communications"/>
          <xsd:enumeration value="Corporate"/>
          <xsd:enumeration value="CQC"/>
          <xsd:enumeration value="IT/IG/GDPR"/>
          <xsd:enumeration value="HR"/>
          <xsd:enumeration value="Facilities"/>
          <xsd:enumeration value="Legal"/>
          <xsd:enumeration value="NHS111"/>
          <xsd:enumeration value="Operations"/>
          <xsd:enumeration value="Strategy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Policies_x0020_for_x0020_Acknowledgement" ma:index="11" nillable="true" ma:displayName="Policies for Acknowledgement" ma:default="0" ma:indexed="true" ma:internalName="Policies_x0020_for_x0020_Acknowledgement">
      <xsd:simpleType>
        <xsd:restriction base="dms:Boolea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a96389a-96fe-481b-98ba-dadf302f89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78451-638c-45ee-adad-916a723481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e45f9-ddcb-4a55-a017-0e64c5b64fe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5DF8A28-BFD6-4B64-9933-A46401DFE2D1}" ma:internalName="TaxCatchAll" ma:showField="CatchAllData" ma:web="{7abea521-6ab5-4285-a9f1-e65c5b12b8f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e45f9-ddcb-4a55-a017-0e64c5b64fe9" xsi:nil="true"/>
    <Policies_x0020_for_x0020_Acknowledgement xmlns="906f4b50-9439-4385-aa1d-b04a05b74af0">false</Policies_x0020_for_x0020_Acknowledgement>
    <Business_x0020_Document_x0020_Category xmlns="906f4b50-9439-4385-aa1d-b04a05b74af0" xsi:nil="true"/>
    <lcf76f155ced4ddcb4097134ff3c332f xmlns="906f4b50-9439-4385-aa1d-b04a05b74a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5C3340-6375-490A-990C-66B69CE557C5}"/>
</file>

<file path=customXml/itemProps2.xml><?xml version="1.0" encoding="utf-8"?>
<ds:datastoreItem xmlns:ds="http://schemas.openxmlformats.org/officeDocument/2006/customXml" ds:itemID="{2B496941-C1BE-44C0-8658-81D777710F1A}"/>
</file>

<file path=customXml/itemProps3.xml><?xml version="1.0" encoding="utf-8"?>
<ds:datastoreItem xmlns:ds="http://schemas.openxmlformats.org/officeDocument/2006/customXml" ds:itemID="{25436A17-272C-499C-9051-8A9690C5D13A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2026-10-18T13:37:29Z</dcterms:created>
  <dcterms:modified xsi:type="dcterms:W3CDTF">2026-10-18T13:37:29Z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0x01010090D0BDDED680624394F9A9EA94C6770B</vt:lpwstr>
  </property>
</Properties>
</file>