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Arial" w:cs="Arial" w:eastAsia="Arial" w:hAnsi="Arial"/>
          <w:b/>
          <w:bCs/>
          <w:color w:val="000000"/>
          <w:sz w:val="30"/>
          <w:szCs w:val="30"/>
        </w:rPr>
        <w:t xml:space="preserve">Significant Event Policy and Process Checklist</w:t>
      </w:r>
    </w:p>
    <w:p>
      <w:pPr>
        <w:spacing w:after="100"/>
      </w:pPr>
      <w:r>
        <w:rPr>
          <w:rFonts w:ascii="Arial" w:cs="Arial" w:eastAsia="Arial" w:hAnsi="Arial"/>
          <w:i/>
          <w:iCs/>
          <w:color w:val="595959"/>
          <w:sz w:val="20"/>
          <w:szCs w:val="20"/>
        </w:rPr>
        <w:t xml:space="preserve">Example checklist only — adapt to your practice. Work through each item against your own policy and arrangements; where the answer is no, that is the gap to close.</w:t>
      </w:r>
    </w:p>
    <w:p>
      <w:pPr>
        <w:spacing w:after="100"/>
      </w:pPr>
      <w:r>
        <w:rPr>
          <w:rFonts w:ascii="Arial" w:cs="Arial" w:eastAsia="Arial" w:hAnsi="Arial"/>
          <w:i w:val="false"/>
          <w:iCs w:val="false"/>
          <w:color w:val="000000"/>
          <w:sz w:val="20"/>
          <w:szCs w:val="20"/>
        </w:rPr>
        <w:t xml:space="preserve">Inspectors will first look at the practice's significant event policy, which may be requested in advance. The policy must reflect your practice's specific arrangements. They will then test the process end to end: the tracker, the documentation held per event, the annual review, and what staff can tell them.</w:t>
      </w:r>
    </w:p>
    <w:p>
      <w:pPr>
        <w:pStyle w:val="Heading2"/>
        <w:spacing w:after="100" w:before="280"/>
      </w:pPr>
      <w:r>
        <w:rPr>
          <w:rFonts w:ascii="Arial" w:cs="Arial" w:eastAsia="Arial" w:hAnsi="Arial"/>
          <w:b/>
          <w:bCs/>
          <w:color w:val="000000"/>
          <w:sz w:val="23"/>
          <w:szCs w:val="23"/>
        </w:rPr>
        <w:t xml:space="preserve">A. Policy content</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Policy reflects the practice's specific arrangements, not a generic template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Definition of a significant event, with examples — including near misses and examples of good practice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The process for reporting: who reports, how, and on what form — all staff, clinical and non-clinical, temporary and permanent</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Who leads on and oversees significant events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The process for investigation</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How learning is shared across the wider team</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Process to store and monitor significant event analyses (SEAs)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Annual review of significant events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Reference to the duty of candour (and linkage to statutory notifications where applicable)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Process to report relevant incidents via Learning from Patient Safety Events (LFPSE)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Reference to the Patient Safety Incident Response Framework (PSIRF) and its principles — proportionate response, engagement with those affected, system factors over individual blame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Statement of an open, blame-free learning culture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Version control, named approver and a review date that has not lapsed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B. Tracker</w:t>
      </w:r>
    </w:p>
    <w:p>
      <w:pPr>
        <w:spacing w:after="100"/>
      </w:pPr>
      <w:r>
        <w:rPr>
          <w:rFonts w:ascii="Arial" w:cs="Arial" w:eastAsia="Arial" w:hAnsi="Arial"/>
          <w:i w:val="false"/>
          <w:iCs w:val="false"/>
          <w:color w:val="000000"/>
          <w:sz w:val="20"/>
          <w:szCs w:val="20"/>
        </w:rPr>
        <w:t xml:space="preserve">CQC expect a tracker (spreadsheet, GP TeamNet or Practice Index) monitoring the status of every event through to closure. Check it includes:</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Date of incident</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Patient ID (clinical system number, where a patient is involved)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Overview of the incident</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Duty of candour applicable?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Report to LFPSE required?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Investigation completed date</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Date discussed in meeting / learning shared with staff</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Actions to be implemented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Date actions implemented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C. Documentation per event</w:t>
      </w:r>
    </w:p>
    <w:p>
      <w:pPr>
        <w:spacing w:after="100"/>
      </w:pPr>
      <w:r>
        <w:rPr>
          <w:rFonts w:ascii="Arial" w:cs="Arial" w:eastAsia="Arial" w:hAnsi="Arial"/>
          <w:i w:val="false"/>
          <w:iCs w:val="false"/>
          <w:color w:val="000000"/>
          <w:sz w:val="20"/>
          <w:szCs w:val="20"/>
        </w:rPr>
        <w:t xml:space="preserve">A folder per event (shared drive or TeamNet) so everything is accessible when interviewed, containing:</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The significant event report</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Any investigation documentation</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Evidence of submission to LFPSE / CQC where required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Minutes of the meeting where the event was discussed — with learning and actions clearly detailed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Evidence of actions taken as a result (updated policies, new protocols, etc.)</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D. Annual review</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All significant events checked as completed and closed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Actions taken checked as having addressed the issue raised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Effectiveness of the significant event process itself assessed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Themes and trends reviewed to identify whether further action is required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p>
      <w:pPr>
        <w:pStyle w:val="Heading2"/>
        <w:spacing w:after="100" w:before="280"/>
      </w:pPr>
      <w:r>
        <w:rPr>
          <w:rFonts w:ascii="Arial" w:cs="Arial" w:eastAsia="Arial" w:hAnsi="Arial"/>
          <w:b/>
          <w:bCs/>
          <w:color w:val="000000"/>
          <w:sz w:val="23"/>
          <w:szCs w:val="23"/>
        </w:rPr>
        <w:t xml:space="preserve">E. Staff knowledge</w:t>
      </w:r>
    </w:p>
    <w:p>
      <w:pPr>
        <w:spacing w:after="100"/>
      </w:pPr>
      <w:r>
        <w:rPr>
          <w:rFonts w:ascii="Arial" w:cs="Arial" w:eastAsia="Arial" w:hAnsi="Arial"/>
          <w:i w:val="false"/>
          <w:iCs w:val="false"/>
          <w:color w:val="000000"/>
          <w:sz w:val="20"/>
          <w:szCs w:val="20"/>
        </w:rPr>
        <w:t xml:space="preserve">CQC can ask anyone in the practice about significant events. Staff should be able to confidently outline:</w:t>
      </w:r>
    </w:p>
    <w:tbl>
      <w:tblPr>
        <w:tblW w:type="dxa" w:w="9640"/>
        <w:tblBorders>
          <w:top w:val="single" w:color="auto" w:sz="4"/>
          <w:left w:val="single" w:color="auto" w:sz="4"/>
          <w:bottom w:val="single" w:color="auto" w:sz="4"/>
          <w:right w:val="single" w:color="auto" w:sz="4"/>
          <w:insideH w:val="single" w:color="auto" w:sz="4"/>
          <w:insideV w:val="single" w:color="auto" w:sz="4"/>
        </w:tblBorders>
      </w:tblPr>
      <w:tblGrid>
        <w:gridCol w:w="5440"/>
        <w:gridCol w:w="1100"/>
        <w:gridCol w:w="3100"/>
      </w:tblGrid>
      <w:tr>
        <w:trPr>
          <w:tblHeader/>
        </w:trPr>
        <w:tc>
          <w:tcPr>
            <w:tcW w:type="dxa" w:w="544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1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In place? (Y/N)</w:t>
            </w:r>
          </w:p>
        </w:tc>
        <w:tc>
          <w:tcPr>
            <w:tcW w:type="dxa" w:w="3100"/>
            <w:tcBorders>
              <w:top w:val="single" w:color="BFBFBF" w:sz="4"/>
              <w:left w:val="single" w:color="BFBFBF" w:sz="4"/>
              <w:bottom w:val="single" w:color="BFBFBF" w:sz="4"/>
              <w:right w:val="single" w:color="BFBFBF" w:sz="4"/>
            </w:tcBorders>
            <w:shd w:fill="404040" w:val="clear"/>
            <w:tcMar>
              <w:top w:type="dxa" w:w="60"/>
              <w:left w:type="dxa" w:w="100"/>
              <w:bottom w:type="dxa" w:w="60"/>
              <w:right w:type="dxa" w:w="100"/>
            </w:tcMar>
          </w:tcPr>
          <w:p>
            <w:r>
              <w:rPr>
                <w:rFonts w:ascii="Arial" w:cs="Arial" w:eastAsia="Arial" w:hAnsi="Arial"/>
                <w:b/>
                <w:bCs/>
                <w:color w:val="FFFFFF"/>
                <w:sz w:val="19"/>
                <w:szCs w:val="19"/>
              </w:rPr>
              <w:t xml:space="preserve">Where evidenced / comments</w:t>
            </w: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The process for reporting a significant event</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Where to access the policy</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Who leads on significant events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Examples of things that could amount to a significant event in their own work</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Examples of learning from events that have happened and been discussed</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r>
        <w:tc>
          <w:tcPr>
            <w:tcW w:type="dxa" w:w="5440"/>
            <w:tcBorders>
              <w:top w:val="single" w:color="BFBFBF" w:sz="4"/>
              <w:left w:val="single" w:color="BFBFBF" w:sz="4"/>
              <w:bottom w:val="single" w:color="BFBFBF" w:sz="4"/>
              <w:right w:val="single" w:color="BFBFBF" w:sz="4"/>
            </w:tcBorders>
            <w:tcMar>
              <w:top w:type="dxa" w:w="60"/>
              <w:left w:type="dxa" w:w="100"/>
              <w:bottom w:type="dxa" w:w="60"/>
              <w:right w:type="dxa" w:w="100"/>
            </w:tcMar>
          </w:tcPr>
          <w:p>
            <w:r>
              <w:rPr>
                <w:rFonts w:ascii="Arial" w:cs="Arial" w:eastAsia="Arial" w:hAnsi="Arial"/>
                <w:sz w:val="19"/>
                <w:szCs w:val="19"/>
              </w:rPr>
              <w:t xml:space="preserve">How learning is shared — significant events a standing agenda item at all meetings</w:t>
            </w:r>
          </w:p>
        </w:tc>
        <w:tc>
          <w:tcPr>
            <w:tcW w:type="dxa" w:w="1100"/>
            <w:tcBorders>
              <w:top w:val="single" w:color="BFBFBF" w:sz="4"/>
              <w:left w:val="single" w:color="BFBFBF" w:sz="4"/>
              <w:bottom w:val="single" w:color="BFBFBF" w:sz="4"/>
              <w:right w:val="single" w:color="BFBFBF" w:sz="4"/>
            </w:tcBorders>
          </w:tcPr>
          <w:p/>
        </w:tc>
        <w:tc>
          <w:tcPr>
            <w:tcW w:type="dxa" w:w="3100"/>
            <w:tcBorders>
              <w:top w:val="single" w:color="BFBFBF" w:sz="4"/>
              <w:left w:val="single" w:color="BFBFBF" w:sz="4"/>
              <w:bottom w:val="single" w:color="BFBFBF" w:sz="4"/>
              <w:right w:val="single" w:color="BFBFBF" w:sz="4"/>
            </w:tcBorders>
          </w:tcPr>
          <w:p/>
        </w:tc>
      </w:tr>
    </w:tbl>
    <w:sectPr>
      <w:pgSz w:w="11906" w:h="16838" w:orient="portrait"/>
      <w:pgMar w:top="1152" w:right="1008" w:bottom="1152"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D0BDDED680624394F9A9EA94C6770B" ma:contentTypeVersion="21" ma:contentTypeDescription="Create a new document." ma:contentTypeScope="" ma:versionID="ae8c1f2e12bf8c52f19d553bf3e34c84">
  <xsd:schema xmlns:xsd="http://www.w3.org/2001/XMLSchema" xmlns:xs="http://www.w3.org/2001/XMLSchema" xmlns:p="http://schemas.microsoft.com/office/2006/metadata/properties" xmlns:ns2="906f4b50-9439-4385-aa1d-b04a05b74af0" xmlns:ns3="e4f78451-638c-45ee-adad-916a7234816e" xmlns:ns4="250e45f9-ddcb-4a55-a017-0e64c5b64fe9" targetNamespace="http://schemas.microsoft.com/office/2006/metadata/properties" ma:root="true" ma:fieldsID="19987b0a3f2d716816c4a9270a829cef" ns2:_="" ns3:_="" ns4:_="">
    <xsd:import namespace="906f4b50-9439-4385-aa1d-b04a05b74af0"/>
    <xsd:import namespace="e4f78451-638c-45ee-adad-916a7234816e"/>
    <xsd:import namespace="250e45f9-ddcb-4a55-a017-0e64c5b64fe9"/>
    <xsd:element name="properties">
      <xsd:complexType>
        <xsd:sequence>
          <xsd:element name="documentManagement">
            <xsd:complexType>
              <xsd:all>
                <xsd:element ref="ns2:Business_x0020_Document_x0020_Category" minOccurs="0"/>
                <xsd:element ref="ns2:MediaServiceMetadata" minOccurs="0"/>
                <xsd:element ref="ns2:MediaServiceFastMetadata" minOccurs="0"/>
                <xsd:element ref="ns2:Policies_x0020_for_x0020_Acknowledgement"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6f4b50-9439-4385-aa1d-b04a05b74af0" elementFormDefault="qualified">
    <xsd:import namespace="http://schemas.microsoft.com/office/2006/documentManagement/types"/>
    <xsd:import namespace="http://schemas.microsoft.com/office/infopath/2007/PartnerControls"/>
    <xsd:element name="Business_x0020_Document_x0020_Category" ma:index="8" nillable="true" ma:displayName="Business Document Category" ma:indexed="true" ma:internalName="Business_x0020_Document_x0020_Category">
      <xsd:simpleType>
        <xsd:restriction base="dms:Choice">
          <xsd:enumeration value="Policies and Procedures"/>
          <xsd:enumeration value="Guides"/>
          <xsd:enumeration value="Forms and Templates"/>
          <xsd:enumeration value="CEPN"/>
          <xsd:enumeration value="Admin"/>
          <xsd:enumeration value="Business Structure and Legal"/>
          <xsd:enumeration value="Services/Projects"/>
          <xsd:enumeration value="CCG"/>
          <xsd:enumeration value="Clinical Governance"/>
          <xsd:enumeration value="Communications"/>
          <xsd:enumeration value="Corporate"/>
          <xsd:enumeration value="CQC"/>
          <xsd:enumeration value="IT/IG/GDPR"/>
          <xsd:enumeration value="HR"/>
          <xsd:enumeration value="Facilities"/>
          <xsd:enumeration value="Legal"/>
          <xsd:enumeration value="NHS111"/>
          <xsd:enumeration value="Operations"/>
          <xsd:enumeration value="Strategy"/>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Policies_x0020_for_x0020_Acknowledgement" ma:index="11" nillable="true" ma:displayName="Policies for Acknowledgement" ma:default="0" ma:indexed="true" ma:internalName="Policies_x0020_for_x0020_Acknowledgement">
      <xsd:simpleType>
        <xsd:restriction base="dms:Boolea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a96389a-96fe-481b-98ba-dadf302f895b"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f78451-638c-45ee-adad-916a723481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0e45f9-ddcb-4a55-a017-0e64c5b64fe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35DF8A28-BFD6-4B64-9933-A46401DFE2D1}" ma:internalName="TaxCatchAll" ma:showField="CatchAllData" ma:web="{7abea521-6ab5-4285-a9f1-e65c5b12b8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0e45f9-ddcb-4a55-a017-0e64c5b64fe9" xsi:nil="true"/>
    <Policies_x0020_for_x0020_Acknowledgement xmlns="906f4b50-9439-4385-aa1d-b04a05b74af0">false</Policies_x0020_for_x0020_Acknowledgement>
    <Business_x0020_Document_x0020_Category xmlns="906f4b50-9439-4385-aa1d-b04a05b74af0" xsi:nil="true"/>
    <lcf76f155ced4ddcb4097134ff3c332f xmlns="906f4b50-9439-4385-aa1d-b04a05b74a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80E7FE-3EB9-44B9-9863-175BD7074AC1}"/>
</file>

<file path=customXml/itemProps2.xml><?xml version="1.0" encoding="utf-8"?>
<ds:datastoreItem xmlns:ds="http://schemas.openxmlformats.org/officeDocument/2006/customXml" ds:itemID="{A08C1B38-8BE1-44EA-B7B9-A99AB79E6219}"/>
</file>

<file path=customXml/itemProps3.xml><?xml version="1.0" encoding="utf-8"?>
<ds:datastoreItem xmlns:ds="http://schemas.openxmlformats.org/officeDocument/2006/customXml" ds:itemID="{3CDD3252-BF91-429F-AB17-6F9A81064A32}"/>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2026-10-18T13:17:55Z</dcterms:created>
  <dcterms:modified xsi:type="dcterms:W3CDTF">2026-10-18T13:17:55Z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0x01010090D0BDDED680624394F9A9EA94C6770B</vt:lpwstr>
  </property>
</Properties>
</file>